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泰凌微TLSR8258开发笔记</w:t>
      </w:r>
    </w:p>
    <w:p>
      <w:pPr>
        <w:numPr>
          <w:ilvl w:val="0"/>
          <w:numId w:val="1"/>
        </w:numPr>
        <w:bidi w:val="0"/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t>TLSR8258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基本特性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32 Bit RISC-V 处理器，最高主频48MHz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内置32.768KHz RC时钟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512 KBytes 片上可编程Flash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64 KBytes 片上RAM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内置硬件AES加密单元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丰富的外设：17路GPIO，一路SPI、IIC、UART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六路PWM，支持红外信号生成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6路14Bit高精度ADC，支持电池电量采集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4通道差分输入可编程增益PGA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高达10dBm的发射功率，-96dBm接受灵敏度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7.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优秀的功耗管理，深度睡眠电流0.4uA，保持RAM数据睡眠电流1.4uA，接收模式5.3mA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发送模式4.8mA(0dbm)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8.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支持低功耗蓝牙5.0 (不支持经典蓝牙)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支持SigMesh，可对接天猫精灵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9.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电压范围1.8V~3.6V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65345" cy="3264535"/>
            <wp:effectExtent l="0" t="0" r="190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5345" cy="326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IDE使用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问题一：修改头文件内容，编译没有效果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解决方法：项目有涉及头文件修改的，要先clean项目！！！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问题二：选择了编译项目，项目内的文件显示未选中状态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解决方法：点击项目，右键选择properties，然后设置成下图所示，即可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588895" cy="4349750"/>
            <wp:effectExtent l="0" t="0" r="190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434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5420" cy="2478405"/>
            <wp:effectExtent l="0" t="0" r="11430" b="17145"/>
            <wp:docPr id="2" name="图片 2" descr="9482FE60-ADFF-4289-9ECB-AF4A97772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82FE60-ADFF-4289-9ECB-AF4A977720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Mesh SDK工程开发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1.Log打印串口使用：8258默认使用串口引脚PB2，根据手册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1.6.2 Log 打印调试</w:t>
      </w:r>
      <w:r>
        <w:rPr>
          <w:rFonts w:hint="eastAsia" w:asciiTheme="minorEastAsia" w:hAnsiTheme="minorEastAsia" w:cstheme="min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配置即可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jc w:val="left"/>
        <w:rPr>
          <w:rFonts w:hint="eastAsia" w:ascii="Courier New" w:hAnsi="Courier New"/>
          <w:color w:val="000000"/>
          <w:sz w:val="24"/>
          <w:szCs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增加vendor指令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Courier New" w:hAnsi="Courier New"/>
          <w:color w:val="000000"/>
          <w:sz w:val="20"/>
          <w:szCs w:val="24"/>
          <w:highlight w:val="none"/>
          <w:shd w:val="clear" w:color="FFFFFF" w:fill="D9D9D9"/>
        </w:rPr>
        <w:t>mesh_cmd_vd_func</w:t>
      </w:r>
      <w:r>
        <w:rPr>
          <w:rFonts w:hint="eastAsia" w:ascii="Courier New" w:hAnsi="Courier New"/>
          <w:color w:val="000000"/>
          <w:sz w:val="20"/>
          <w:szCs w:val="24"/>
          <w:highlight w:val="white"/>
        </w:rPr>
        <w:t>[]</w:t>
      </w:r>
      <w:r>
        <w:rPr>
          <w:rFonts w:hint="eastAsia" w:ascii="Courier New" w:hAnsi="Courier New"/>
          <w:color w:val="000000"/>
          <w:sz w:val="24"/>
          <w:szCs w:val="24"/>
          <w:highlight w:val="white"/>
          <w:lang w:val="en-US" w:eastAsia="zh-CN"/>
        </w:rPr>
        <w:t>内的回调函数需以cb_开头，否则指令接收报错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Courier New" w:hAnsi="Courier New"/>
          <w:color w:val="000000"/>
          <w:sz w:val="24"/>
          <w:szCs w:val="24"/>
          <w:highlight w:val="white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结构体使用“.”报错，应换成“-&gt;”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r>
        <w:t>typedef struct{</w:t>
      </w:r>
    </w:p>
    <w:p>
      <w:r>
        <w:t xml:space="preserve">    u16 nk_idx;  //netkey index</w:t>
      </w:r>
    </w:p>
    <w:p>
      <w:r>
        <w:t xml:space="preserve">    u16 ak_idx;  //app_key index</w:t>
      </w:r>
    </w:p>
    <w:p>
      <w:r>
        <w:rPr>
          <w:rFonts w:hint="eastAsia"/>
        </w:rPr>
        <w:t xml:space="preserve">    u8 retry_cnt;</w:t>
      </w:r>
      <w:r>
        <w:t xml:space="preserve"> </w:t>
      </w:r>
      <w:r>
        <w:rPr>
          <w:rFonts w:hint="eastAsia"/>
        </w:rPr>
        <w:t>// 应用层需要retry的次数，适用于需要回复的命令，为0表示使用“retry”控件的值。</w:t>
      </w:r>
    </w:p>
    <w:p>
      <w:r>
        <w:rPr>
          <w:rFonts w:hint="eastAsia"/>
        </w:rPr>
        <w:t xml:space="preserve">    u8 rsp_max;  // 表示需要回复节点的个数，0和1是效果相同，用来判断是否需要retry</w:t>
      </w:r>
    </w:p>
    <w:p>
      <w:r>
        <w:rPr>
          <w:rFonts w:hint="eastAsia"/>
        </w:rPr>
        <w:t xml:space="preserve">    u16 adr_dst; </w:t>
      </w:r>
      <w:r>
        <w:t xml:space="preserve"> </w:t>
      </w:r>
      <w:r>
        <w:rPr>
          <w:rFonts w:hint="eastAsia"/>
        </w:rPr>
        <w:t>// 目标地址</w:t>
      </w:r>
    </w:p>
    <w:p>
      <w:r>
        <w:rPr>
          <w:rFonts w:hint="eastAsia"/>
        </w:rPr>
        <w:t xml:space="preserve">    u8 op;       //操作码，取值范围0xC0—0xFF</w:t>
      </w:r>
    </w:p>
    <w:p>
      <w:r>
        <w:rPr>
          <w:rFonts w:hint="eastAsia"/>
        </w:rPr>
        <w:t xml:space="preserve">    u16 cid;     //company id，即vendor id</w:t>
      </w:r>
    </w:p>
    <w:p>
      <w:r>
        <w:rPr>
          <w:rFonts w:hint="eastAsia"/>
        </w:rPr>
        <w:t xml:space="preserve">    u8 op_rsp;   //伪参数，内部使用，不会发送出去，详见下文说明</w:t>
      </w:r>
    </w:p>
    <w:p>
      <w:r>
        <w:rPr>
          <w:rFonts w:hint="eastAsia"/>
        </w:rPr>
        <w:t xml:space="preserve">    u8 tid_pos;  //伪参数，内部使用，不会发送出去，详见下文说明</w:t>
      </w:r>
    </w:p>
    <w:p>
      <w:r>
        <w:t xml:space="preserve">    u8 par[MESH_CMD_ACCESS_LEN_MAX]; // parameter after opcode</w:t>
      </w:r>
    </w:p>
    <w:p>
      <w:r>
        <w:t>};</w:t>
      </w: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mesh自组网自定义协议</w:t>
      </w:r>
    </w:p>
    <w:p>
      <w:pPr>
        <w:widowControl w:val="0"/>
        <w:numPr>
          <w:ilvl w:val="0"/>
          <w:numId w:val="0"/>
        </w:numPr>
        <w:bidi w:val="0"/>
        <w:ind w:left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低功耗节点只能接收单播信息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接收到节点信息时，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判断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目标节点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是否为朋友节点判断，为朋友节点时，向低功耗节点发送相应的数据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协议内容：目标节点地址（2byte）+ 源节点地址（2byte）+ data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Courier New" w:hAnsi="Courier New"/>
          <w:color w:val="3F7F5F"/>
          <w:sz w:val="20"/>
          <w:szCs w:val="24"/>
          <w:highlight w:val="white"/>
        </w:rPr>
      </w:pPr>
      <w:r>
        <w:rPr>
          <w:rFonts w:hint="eastAsia" w:ascii="Courier New" w:hAnsi="Courier New"/>
          <w:b/>
          <w:color w:val="7F0055"/>
          <w:sz w:val="20"/>
          <w:szCs w:val="24"/>
          <w:highlight w:val="white"/>
        </w:rPr>
        <w:t>int</w:t>
      </w:r>
      <w:r>
        <w:rPr>
          <w:rFonts w:hint="eastAsia" w:ascii="Courier New" w:hAnsi="Courier New"/>
          <w:color w:val="000000"/>
          <w:sz w:val="20"/>
          <w:szCs w:val="24"/>
          <w:highlight w:val="white"/>
        </w:rPr>
        <w:t xml:space="preserve"> </w:t>
      </w:r>
      <w:r>
        <w:rPr>
          <w:rFonts w:hint="eastAsia" w:ascii="Courier New" w:hAnsi="Courier New"/>
          <w:b w:val="0"/>
          <w:bCs/>
          <w:color w:val="000000"/>
          <w:sz w:val="20"/>
          <w:szCs w:val="24"/>
          <w:highlight w:val="none"/>
        </w:rPr>
        <w:t>is_cmd2lpn</w:t>
      </w:r>
      <w:r>
        <w:rPr>
          <w:rFonts w:hint="eastAsia" w:ascii="Courier New" w:hAnsi="Courier New"/>
          <w:color w:val="000000"/>
          <w:sz w:val="20"/>
          <w:szCs w:val="24"/>
          <w:highlight w:val="white"/>
        </w:rPr>
        <w:t>(</w:t>
      </w:r>
      <w:r>
        <w:rPr>
          <w:rFonts w:hint="eastAsia" w:ascii="Courier New" w:hAnsi="Courier New"/>
          <w:color w:val="005032"/>
          <w:sz w:val="20"/>
          <w:szCs w:val="24"/>
          <w:highlight w:val="white"/>
        </w:rPr>
        <w:t>u16</w:t>
      </w:r>
      <w:r>
        <w:rPr>
          <w:rFonts w:hint="eastAsia" w:ascii="Courier New" w:hAnsi="Courier New"/>
          <w:color w:val="000000"/>
          <w:sz w:val="20"/>
          <w:szCs w:val="24"/>
          <w:highlight w:val="white"/>
        </w:rPr>
        <w:t xml:space="preserve"> adr_dst)</w:t>
      </w:r>
      <w:r>
        <w:rPr>
          <w:rFonts w:hint="eastAsia" w:ascii="Courier New" w:hAnsi="Courier New"/>
          <w:color w:val="000000"/>
          <w:sz w:val="20"/>
          <w:szCs w:val="24"/>
          <w:highlight w:val="white"/>
        </w:rPr>
        <w:tab/>
      </w:r>
      <w:r>
        <w:rPr>
          <w:rFonts w:hint="eastAsia" w:ascii="Courier New" w:hAnsi="Courier New"/>
          <w:color w:val="000000"/>
          <w:sz w:val="20"/>
          <w:szCs w:val="24"/>
          <w:highlight w:val="white"/>
        </w:rPr>
        <w:tab/>
      </w:r>
      <w:r>
        <w:rPr>
          <w:rFonts w:hint="eastAsia" w:ascii="Courier New" w:hAnsi="Courier New"/>
          <w:color w:val="3F7F5F"/>
          <w:sz w:val="20"/>
          <w:szCs w:val="24"/>
          <w:highlight w:val="white"/>
        </w:rPr>
        <w:t>//查找是否为与自己建立朋友关系的低功耗节点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Courier New" w:hAnsi="Courier New"/>
          <w:color w:val="3F7F5F"/>
          <w:sz w:val="20"/>
          <w:szCs w:val="24"/>
          <w:highlight w:val="white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Courier New" w:hAnsi="Courier New"/>
          <w:color w:val="3F7F5F"/>
          <w:sz w:val="20"/>
          <w:szCs w:val="24"/>
          <w:highlight w:val="white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Mesh基本功能、基本特性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网关：增加删除节点，分配节点地址，对相应的节点进行控制、发送数据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普通节点：具有朋友、中继功能，最多支持200个实时控制节点，朋友节点最多支持10个低功耗节点（手册建议不要超过8个）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低功耗节点：只能通过朋友节点接收和发送数据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消息最多支持127次中继；sdk默认10次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TTL_DEFAULT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Mesh网络中以UUID来识别node，UUID可作为唯一识别码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增加一个恢复出厂设置按键：长按3s，清除网络信息，进入配网状态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测试内容：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通信响应时间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最大的通信节点数量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低功耗节点功耗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mesh地址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在蓝牙Mesh规范中，将地址分为四类：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单播地址（Unicast Address）用于唯一标识网络中节点的元素地址。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组播地址（Group Address）用于表示网络中的组地址，组地址可以被一个或多个节点所共有。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虚拟地址（Virtual Address）作用类似与组地址，不同点在于其地址空间为2^16。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未分配地址 （Unassigned address）表示此地址不能被使用。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单播地址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单播地址被用于唯一的标识蓝牙Mesh网络中节点的元素（Element)，单播地址从0x0001开始到0x7FFF结束，该地址是在蓝牙Mesh设备配网阶段由配置者分配给设备的，单播地址在各节点之间不能重复，而在节点内必须递增。例如：网络由三个节点组成，节点A有1个元素，节点B有2个元素，节点C由2个元素，节点A的地址为0x0001，节点B的第一个元素如果为0x0002的话，第二个元素必须为0x0003，节点C同理。单播地址在网络中用于唯一的标识网络的节点的元素，因此在网络数据包中源地址（SRC）字段必须设置为该单播地址，而目的地址（DST）则无此要求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组播地址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组播地址一般被用于元素模型的订阅（Subscribe）和发布（Publish）地址，组播地址从0xC000开始，到0xFEEE结束可以被任意使用，而0xFF00到0xFFFB为保留地址，不能使用。0xFFFC到0xFFFF用于特殊使用：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0xFFFC 代指所有的代理节点（Proxy Node）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0xFFFD 代指所有的朋友节点（Friend Node）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0xFFFE 代指所有的转发节点（Relay Node）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0xFFFF 代指所有的节点（All Nodes）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蓝牙Mesh网络的通信模型是取决于目的地址（DST）字段，如果目的地址为单播地址，那么该消息只能被单播地址为该目的地址的元素所处理，如果目的地址为组播地址的话，该消息可以被订阅该地址的模型所处理。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由此推出通信模型：客户端/服务端模型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订阅/发布模型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uart串口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通过此语句可获得串口接收数据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Courier New" w:hAnsi="Courier New"/>
          <w:color w:val="000000"/>
          <w:sz w:val="20"/>
          <w:szCs w:val="24"/>
          <w:highlight w:val="white"/>
        </w:rPr>
      </w:pPr>
      <w:r>
        <w:rPr>
          <w:rFonts w:hint="eastAsia" w:ascii="Courier New" w:hAnsi="Courier New"/>
          <w:color w:val="005032"/>
          <w:sz w:val="20"/>
          <w:szCs w:val="24"/>
          <w:highlight w:val="none"/>
        </w:rPr>
        <w:t>uart_data_t</w:t>
      </w:r>
      <w:r>
        <w:rPr>
          <w:rFonts w:hint="eastAsia" w:ascii="Courier New" w:hAnsi="Courier New"/>
          <w:color w:val="000000"/>
          <w:sz w:val="20"/>
          <w:szCs w:val="24"/>
          <w:highlight w:val="none"/>
        </w:rPr>
        <w:t>* q = (</w:t>
      </w:r>
      <w:r>
        <w:rPr>
          <w:rFonts w:hint="eastAsia" w:ascii="Courier New" w:hAnsi="Courier New"/>
          <w:color w:val="000000"/>
          <w:sz w:val="20"/>
          <w:szCs w:val="24"/>
          <w:highlight w:val="none"/>
          <w:u w:val="single"/>
        </w:rPr>
        <w:t>uart_data_t</w:t>
      </w:r>
      <w:r>
        <w:rPr>
          <w:rFonts w:hint="eastAsia" w:ascii="Courier New" w:hAnsi="Courier New"/>
          <w:color w:val="000000"/>
          <w:sz w:val="20"/>
          <w:szCs w:val="24"/>
          <w:highlight w:val="white"/>
        </w:rPr>
        <w:t xml:space="preserve"> *)my_fifo_get(&amp;hci_rx_fifo);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Courier New" w:hAnsi="Courier New"/>
          <w:color w:val="000000"/>
          <w:sz w:val="20"/>
          <w:szCs w:val="24"/>
          <w:highlight w:val="white"/>
        </w:rPr>
      </w:pP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0"/>
          <w:szCs w:val="24"/>
        </w:rPr>
      </w:pPr>
      <w:r>
        <w:rPr>
          <w:rFonts w:hint="eastAsia" w:ascii="Courier New" w:hAnsi="Courier New"/>
          <w:b/>
          <w:color w:val="7F0055"/>
          <w:sz w:val="20"/>
          <w:szCs w:val="24"/>
        </w:rPr>
        <w:t>if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(uart_Send(q-&gt;</w:t>
      </w:r>
      <w:r>
        <w:rPr>
          <w:rFonts w:hint="eastAsia" w:ascii="Courier New" w:hAnsi="Courier New"/>
          <w:color w:val="0000C0"/>
          <w:sz w:val="20"/>
          <w:szCs w:val="24"/>
        </w:rPr>
        <w:t>data</w:t>
      </w:r>
      <w:r>
        <w:rPr>
          <w:rFonts w:hint="eastAsia" w:ascii="Courier New" w:hAnsi="Courier New"/>
          <w:color w:val="000000"/>
          <w:sz w:val="20"/>
          <w:szCs w:val="24"/>
        </w:rPr>
        <w:t>, q-&gt;</w:t>
      </w:r>
      <w:r>
        <w:rPr>
          <w:rFonts w:hint="eastAsia" w:ascii="Courier New" w:hAnsi="Courier New"/>
          <w:color w:val="0000C0"/>
          <w:sz w:val="20"/>
          <w:szCs w:val="24"/>
        </w:rPr>
        <w:t>len</w:t>
      </w:r>
      <w:r>
        <w:rPr>
          <w:rFonts w:hint="eastAsia" w:ascii="Courier New" w:hAnsi="Courier New"/>
          <w:color w:val="000000"/>
          <w:sz w:val="20"/>
          <w:szCs w:val="24"/>
        </w:rPr>
        <w:t>))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szCs w:val="24"/>
        </w:rPr>
      </w:pPr>
      <w:r>
        <w:rPr>
          <w:rFonts w:hint="eastAsia" w:ascii="Courier New" w:hAnsi="Courier New"/>
          <w:color w:val="000000"/>
          <w:sz w:val="20"/>
          <w:szCs w:val="24"/>
        </w:rPr>
        <w:t>{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0"/>
          <w:szCs w:val="24"/>
        </w:rPr>
      </w:pP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color w:val="000000"/>
          <w:sz w:val="20"/>
          <w:szCs w:val="24"/>
        </w:rPr>
        <w:t>my_fifo_pop (&amp;hci_tx_fifo);</w:t>
      </w:r>
    </w:p>
    <w:p>
      <w:pPr>
        <w:spacing w:beforeLines="0" w:afterLines="0"/>
        <w:jc w:val="left"/>
        <w:rPr>
          <w:rFonts w:hint="eastAsia" w:ascii="Courier New" w:hAnsi="Courier New"/>
          <w:color w:val="000000"/>
          <w:sz w:val="20"/>
          <w:szCs w:val="24"/>
        </w:rPr>
      </w:pPr>
      <w:r>
        <w:rPr>
          <w:rFonts w:hint="eastAsia" w:ascii="Courier New" w:hAnsi="Courier New"/>
          <w:color w:val="000000"/>
          <w:sz w:val="20"/>
          <w:szCs w:val="24"/>
        </w:rPr>
        <w:t>}</w:t>
      </w:r>
    </w:p>
    <w:p>
      <w:pPr>
        <w:bidi w:val="0"/>
        <w:jc w:val="left"/>
        <w:rPr>
          <w:rFonts w:hint="eastAsia" w:ascii="Courier New" w:hAnsi="Courier New"/>
          <w:color w:val="000000"/>
          <w:sz w:val="24"/>
          <w:szCs w:val="24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发送数据后</w:t>
      </w:r>
      <w:r>
        <w:rPr>
          <w:rFonts w:hint="eastAsia" w:ascii="Courier New" w:hAnsi="Courier New"/>
          <w:color w:val="000000"/>
          <w:sz w:val="24"/>
          <w:szCs w:val="24"/>
        </w:rPr>
        <w:t>hci_tx_fifo</w:t>
      </w:r>
      <w:r>
        <w:rPr>
          <w:rFonts w:hint="eastAsia" w:ascii="Courier New" w:hAnsi="Courier New"/>
          <w:color w:val="000000"/>
          <w:sz w:val="24"/>
          <w:szCs w:val="24"/>
          <w:lang w:val="en-US" w:eastAsia="zh-CN"/>
        </w:rPr>
        <w:t>队列指针跟着变化</w:t>
      </w:r>
    </w:p>
    <w:p>
      <w:pPr>
        <w:bidi w:val="0"/>
        <w:jc w:val="left"/>
        <w:rPr>
          <w:rFonts w:hint="eastAsia" w:ascii="Courier New" w:hAnsi="Courier New"/>
          <w:color w:val="000000"/>
          <w:sz w:val="24"/>
          <w:szCs w:val="24"/>
          <w:lang w:val="en-US" w:eastAsia="zh-CN"/>
        </w:rPr>
      </w:pPr>
      <w:r>
        <w:rPr>
          <w:rFonts w:hint="eastAsia" w:ascii="Courier New" w:hAnsi="Courier New"/>
          <w:color w:val="000000"/>
          <w:sz w:val="24"/>
          <w:szCs w:val="24"/>
          <w:lang w:val="en-US" w:eastAsia="zh-CN"/>
        </w:rPr>
        <w:t>现在出现接收数据后，需要两到三帧数据才能正确接收，中间接收数据为上一次的数据，未及时更新，问题待排查</w:t>
      </w:r>
    </w:p>
    <w:p>
      <w:pPr>
        <w:bidi w:val="0"/>
        <w:jc w:val="left"/>
        <w:rPr>
          <w:rFonts w:hint="eastAsia" w:ascii="Courier New" w:hAnsi="Courier New"/>
          <w:color w:val="000000"/>
          <w:sz w:val="24"/>
          <w:szCs w:val="24"/>
          <w:lang w:val="en-US" w:eastAsia="zh-CN"/>
        </w:rPr>
      </w:pPr>
    </w:p>
    <w:p>
      <w:pPr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ADC采样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共10个采样引脚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szCs w:val="24"/>
        </w:rPr>
      </w:pPr>
      <w:r>
        <w:rPr>
          <w:rFonts w:hint="eastAsia" w:ascii="Courier New" w:hAnsi="Courier New"/>
          <w:color w:val="005032"/>
          <w:sz w:val="20"/>
          <w:szCs w:val="24"/>
        </w:rPr>
        <w:t>GPIO_PinTypeDef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ADC_GPIO_tab[10] = {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szCs w:val="24"/>
        </w:rPr>
      </w:pP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i/>
          <w:color w:val="0000C0"/>
          <w:sz w:val="20"/>
          <w:szCs w:val="24"/>
        </w:rPr>
        <w:t>GPIO_PB0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  <w:r>
        <w:rPr>
          <w:rFonts w:hint="eastAsia" w:ascii="Courier New" w:hAnsi="Courier New"/>
          <w:i/>
          <w:color w:val="0000C0"/>
          <w:sz w:val="20"/>
          <w:szCs w:val="24"/>
        </w:rPr>
        <w:t>GPIO_PB1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szCs w:val="24"/>
        </w:rPr>
      </w:pP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i/>
          <w:color w:val="0000C0"/>
          <w:sz w:val="20"/>
          <w:szCs w:val="24"/>
        </w:rPr>
        <w:t>GPIO_PB2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  <w:r>
        <w:rPr>
          <w:rFonts w:hint="eastAsia" w:ascii="Courier New" w:hAnsi="Courier New"/>
          <w:i/>
          <w:color w:val="0000C0"/>
          <w:sz w:val="20"/>
          <w:szCs w:val="24"/>
        </w:rPr>
        <w:t>GPIO_PB3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szCs w:val="24"/>
        </w:rPr>
      </w:pP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i/>
          <w:color w:val="0000C0"/>
          <w:sz w:val="20"/>
          <w:szCs w:val="24"/>
        </w:rPr>
        <w:t>GPIO_PB4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  <w:r>
        <w:rPr>
          <w:rFonts w:hint="eastAsia" w:ascii="Courier New" w:hAnsi="Courier New"/>
          <w:i/>
          <w:color w:val="0000C0"/>
          <w:sz w:val="20"/>
          <w:szCs w:val="24"/>
        </w:rPr>
        <w:t>GPIO_PB5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szCs w:val="24"/>
        </w:rPr>
      </w:pP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i/>
          <w:color w:val="0000C0"/>
          <w:sz w:val="20"/>
          <w:szCs w:val="24"/>
        </w:rPr>
        <w:t>GPIO_PB6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  <w:r>
        <w:rPr>
          <w:rFonts w:hint="eastAsia" w:ascii="Courier New" w:hAnsi="Courier New"/>
          <w:i/>
          <w:color w:val="0000C0"/>
          <w:sz w:val="20"/>
          <w:szCs w:val="24"/>
        </w:rPr>
        <w:t>GPIO_PB7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</w:p>
    <w:p>
      <w:pPr>
        <w:spacing w:beforeLines="0" w:afterLines="0"/>
        <w:jc w:val="left"/>
        <w:rPr>
          <w:rFonts w:hint="eastAsia" w:ascii="Courier New" w:hAnsi="Courier New"/>
          <w:sz w:val="20"/>
          <w:szCs w:val="24"/>
        </w:rPr>
      </w:pP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color w:val="000000"/>
          <w:sz w:val="20"/>
          <w:szCs w:val="24"/>
        </w:rPr>
        <w:tab/>
      </w:r>
      <w:r>
        <w:rPr>
          <w:rFonts w:hint="eastAsia" w:ascii="Courier New" w:hAnsi="Courier New"/>
          <w:i/>
          <w:color w:val="0000C0"/>
          <w:sz w:val="20"/>
          <w:szCs w:val="24"/>
        </w:rPr>
        <w:t>GPIO_PC4</w:t>
      </w:r>
      <w:r>
        <w:rPr>
          <w:rFonts w:hint="eastAsia" w:ascii="Courier New" w:hAnsi="Courier New"/>
          <w:color w:val="000000"/>
          <w:sz w:val="20"/>
          <w:szCs w:val="24"/>
        </w:rPr>
        <w:t>,</w:t>
      </w:r>
      <w:r>
        <w:rPr>
          <w:rFonts w:hint="eastAsia" w:ascii="Courier New" w:hAnsi="Courier New"/>
          <w:i/>
          <w:color w:val="0000C0"/>
          <w:sz w:val="20"/>
          <w:szCs w:val="24"/>
        </w:rPr>
        <w:t>GPIO_PC5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Courier New" w:hAnsi="Courier New"/>
          <w:color w:val="000000"/>
          <w:sz w:val="20"/>
          <w:szCs w:val="24"/>
        </w:rPr>
        <w:t>};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泰凌微开发板默认自带电源电压检测，需用ADC采样时，需关闭电源电压检测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配网流程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90" w:lineRule="atLeast"/>
        <w:ind w:left="0" w:right="0" w:firstLine="0"/>
        <w:rPr>
          <w:rFonts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iCs w:val="0"/>
          <w:caps w:val="0"/>
          <w:color w:val="4D4D4D"/>
          <w:spacing w:val="0"/>
          <w:sz w:val="24"/>
          <w:szCs w:val="24"/>
          <w:shd w:val="clear" w:fill="FFFFFF"/>
        </w:rPr>
        <w:t>配网流程分为5个阶段：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480" w:right="0" w:hanging="360"/>
        <w:rPr>
          <w:b w:val="0"/>
          <w:bCs w:val="0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信标(Beconing)阶段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120" w:leftChars="0" w:right="0" w:rightChars="0" w:firstLine="838" w:firstLineChars="0"/>
        <w:rPr>
          <w:rFonts w:hint="default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搜索周边未配网设备，mesh beacon type：Unprovisioned Device（0x00）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480" w:right="0" w:hanging="360"/>
        <w:rPr>
          <w:b w:val="0"/>
          <w:bCs w:val="0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邀请(Invitation)阶段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120" w:leftChars="0" w:right="0" w:rightChars="0" w:firstLine="838" w:firstLineChars="0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 w:eastAsia="宋体"/>
          <w:b w:val="0"/>
          <w:bCs w:val="0"/>
          <w:lang w:val="en-US" w:eastAsia="zh-CN"/>
        </w:rPr>
        <w:t>配网器与未配网设备建立连接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480" w:right="0" w:hanging="360"/>
        <w:rPr>
          <w:b w:val="0"/>
          <w:bCs w:val="0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交换公钥(Exchange Public Keys)阶段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120" w:leftChars="0" w:right="0" w:rightChars="0" w:firstLine="838" w:firstLineChars="0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明文公钥或者OOB公钥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120" w:leftChars="0" w:right="0" w:rightChars="0" w:firstLine="838" w:firstLineChars="0"/>
        <w:rPr>
          <w:rFonts w:hint="default" w:ascii="Arial" w:hAnsi="Arial" w:eastAsia="宋体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OOB公钥指通过二维码、NFC等间接方式获取的公钥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480" w:right="0" w:hanging="360"/>
        <w:rPr>
          <w:b w:val="0"/>
          <w:bCs w:val="0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身份认证(Authentication)阶段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120" w:leftChars="0" w:right="0" w:rightChars="0" w:firstLine="838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通过使用ECDH秘钥以及OOB秘钥消息对随机数进行加密计算得到认证值，双方</w:t>
      </w:r>
      <w:r>
        <w:rPr>
          <w:rFonts w:hint="eastAsia"/>
          <w:b w:val="0"/>
          <w:bCs w:val="0"/>
          <w:lang w:val="en-US" w:eastAsia="zh-CN"/>
        </w:rPr>
        <w:tab/>
        <w:t/>
      </w:r>
      <w:r>
        <w:rPr>
          <w:rFonts w:hint="eastAsia"/>
          <w:b w:val="0"/>
          <w:bCs w:val="0"/>
          <w:lang w:val="en-US" w:eastAsia="zh-CN"/>
        </w:rPr>
        <w:tab/>
        <w:t xml:space="preserve"> 通过对比换算后的认证值来完成认证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120" w:leftChars="0" w:right="0" w:rightChars="0" w:firstLine="838" w:firstLine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包括4种认证方式：输出式OOB认证、输入式OOB认证、静态OOB认证、无</w:t>
      </w:r>
      <w:r>
        <w:rPr>
          <w:rFonts w:hint="eastAsia"/>
          <w:b w:val="0"/>
          <w:bCs w:val="0"/>
          <w:lang w:val="en-US" w:eastAsia="zh-CN"/>
        </w:rPr>
        <w:tab/>
        <w:t/>
      </w:r>
      <w:r>
        <w:rPr>
          <w:rFonts w:hint="eastAsia"/>
          <w:b w:val="0"/>
          <w:bCs w:val="0"/>
          <w:lang w:val="en-US" w:eastAsia="zh-CN"/>
        </w:rPr>
        <w:tab/>
        <w:t xml:space="preserve">  OOB认证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480" w:right="0" w:hanging="360"/>
        <w:rPr>
          <w:b w:val="0"/>
          <w:bCs w:val="0"/>
        </w:rPr>
      </w:pPr>
      <w:r>
        <w:rPr>
          <w:rFonts w:hint="default" w:ascii="Arial" w:hAnsi="Arial" w:eastAsia="Arial" w:cs="Arial"/>
          <w:b w:val="0"/>
          <w:bCs w:val="0"/>
          <w:i w:val="0"/>
          <w:iCs w:val="0"/>
          <w:caps w:val="0"/>
          <w:spacing w:val="0"/>
          <w:sz w:val="24"/>
          <w:szCs w:val="24"/>
          <w:shd w:val="clear" w:fill="FFFFFF"/>
        </w:rPr>
        <w:t>分发配网数据(Distribution Of Provisioning Data)阶段</w:t>
      </w:r>
    </w:p>
    <w:p>
      <w:pPr>
        <w:widowControl w:val="0"/>
        <w:numPr>
          <w:ilvl w:val="0"/>
          <w:numId w:val="0"/>
        </w:numPr>
        <w:bidi w:val="0"/>
        <w:ind w:left="420" w:leftChars="0" w:firstLine="42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分配配网数据，包括网络秘钥、秘钥索引、单播地址等</w:t>
      </w:r>
    </w:p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配置数据格式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9"/>
        <w:gridCol w:w="2832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9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Field</w:t>
            </w:r>
          </w:p>
        </w:tc>
        <w:tc>
          <w:tcPr>
            <w:tcW w:w="2832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Size(byte)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Note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9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Network Key</w:t>
            </w:r>
          </w:p>
        </w:tc>
        <w:tc>
          <w:tcPr>
            <w:tcW w:w="2832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网络密钥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9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Key Index</w:t>
            </w:r>
          </w:p>
        </w:tc>
        <w:tc>
          <w:tcPr>
            <w:tcW w:w="2832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网络密钥索引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9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Flags</w:t>
            </w:r>
          </w:p>
        </w:tc>
        <w:tc>
          <w:tcPr>
            <w:tcW w:w="2832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9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IV Index</w:t>
            </w:r>
          </w:p>
        </w:tc>
        <w:tc>
          <w:tcPr>
            <w:tcW w:w="2832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当前IV索引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9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Unicast Address</w:t>
            </w:r>
          </w:p>
        </w:tc>
        <w:tc>
          <w:tcPr>
            <w:tcW w:w="2832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</w:tcPr>
          <w:p>
            <w:pPr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主元素单播地址</w:t>
            </w:r>
          </w:p>
        </w:tc>
      </w:tr>
    </w:tbl>
    <w:p>
      <w:pPr>
        <w:widowControl w:val="0"/>
        <w:numPr>
          <w:ilvl w:val="0"/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具体可参考：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https://blog.csdn.net/libin55/article/details/112933779</w:t>
      </w:r>
    </w:p>
    <w:p>
      <w:pPr>
        <w:widowControl w:val="0"/>
        <w:numPr>
          <w:ilvl w:val="0"/>
          <w:numId w:val="0"/>
        </w:numPr>
        <w:bidi w:val="0"/>
        <w:ind w:left="420" w:leftChars="0" w:firstLine="420" w:firstLineChars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mesh_node.c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节点基本信息定义在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mesh_composition_data_local_t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中完成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typedef struct{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loc;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u8 nums;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u8 numv;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md_sig[ARRAY_SIZE(md_id_sig_primary)];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u32 md_vendor[ARRAY_SIZE(md_id_vendor_primary)];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}mesh_element_primary_t;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typedef struct{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loc;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u8 nums;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u8 numv;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md_sig[ARRAY_SIZE(md_id_sig_second)];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#if (LIGHT_CNT &gt; 1)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#if MD_SERVER_EN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u32 md_vendor[ARRAY_SIZE(md_id_vendor_second)];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#endif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#endif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}mesh_element_second_t;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typedef struct{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mesh_page0_head_t head;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mesh_element_primary_t ele_primary;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#if (ELE_CNT &gt; 1)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mesh_element_second_t ele_second[ELE_CNT-1];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#endif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}page0_local_t;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typedef struct{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page0_local_t page0;     // differrent page with differrent struct, so can not use array.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}mesh_composition_data_local_t;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typedef struct{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relay       :1;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proxy       :1;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u16 frid     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:1;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low_power   :1;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rfu         :12;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}mesh_page_feature_t;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typedef struct{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cid;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//company id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pid;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//product id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vid;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//version id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u16 crpl;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//设备中重放保护列表项的最小数量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mesh_page_feature_t feature;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}mesh_page0_head_t;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其中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pid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决定了节点的具体功能，目前支持以下几种功能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LIGHT_TYPE_NONE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0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LIGHT_TYPE_CT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1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LIGHT_TYPE_HSL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2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LIGHT_TYPE_XYL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3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LIGHT_TYPE_POWER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4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LIGHT_TYPE_CT_HSL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5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LIGHT_TYPE_DIM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 xml:space="preserve">    6   // only single PWM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LIGHT_TYPE_PANEL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ab/>
        <w:t xml:space="preserve">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7   // only ONOFF model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LIGHT_TYPE_LPN_ONOFF_LEVEL  8   // only ONOFF , LEVEL model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#define TYPE_TOOTH_BRUSH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ab/>
        <w:t xml:space="preserve"> </w:t>
      </w: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9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mesh工程下的app.c</w:t>
      </w:r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  <w:t>user_init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();</w:t>
      </w:r>
    </w:p>
    <w:p>
      <w:pPr>
        <w:widowControl w:val="0"/>
        <w:numPr>
          <w:numId w:val="0"/>
        </w:numPr>
        <w:bidi w:val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bidi w:val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2"/>
        </w:numPr>
        <w:bidi w:val="0"/>
        <w:ind w:left="0" w:leftChars="0" w:firstLine="0" w:firstLineChars="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mesh工程下的mesh_config.h</w:t>
      </w:r>
      <w:bookmarkStart w:id="0" w:name="_GoBack"/>
      <w:bookmarkEnd w:id="0"/>
    </w:p>
    <w:p>
      <w:pPr>
        <w:widowControl w:val="0"/>
        <w:numPr>
          <w:numId w:val="0"/>
        </w:numPr>
        <w:bidi w:val="0"/>
        <w:jc w:val="left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34362"/>
    <w:multiLevelType w:val="singleLevel"/>
    <w:tmpl w:val="80A343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6C78CCE"/>
    <w:multiLevelType w:val="multilevel"/>
    <w:tmpl w:val="86C78C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D5F08436"/>
    <w:multiLevelType w:val="singleLevel"/>
    <w:tmpl w:val="D5F084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MzIyMDcxYTJkNWQ1ZThjODNhZmM1ZTZlYzJhZjQifQ=="/>
  </w:docVars>
  <w:rsids>
    <w:rsidRoot w:val="00172A27"/>
    <w:rsid w:val="01C6584F"/>
    <w:rsid w:val="02694662"/>
    <w:rsid w:val="03AD3B1B"/>
    <w:rsid w:val="03D1535F"/>
    <w:rsid w:val="04CE32A6"/>
    <w:rsid w:val="081C23EE"/>
    <w:rsid w:val="091D4F8D"/>
    <w:rsid w:val="093C5A7E"/>
    <w:rsid w:val="0B037870"/>
    <w:rsid w:val="0D0C36E9"/>
    <w:rsid w:val="0F7E51EB"/>
    <w:rsid w:val="125C0354"/>
    <w:rsid w:val="13097496"/>
    <w:rsid w:val="16401EAE"/>
    <w:rsid w:val="16A75AFA"/>
    <w:rsid w:val="17CE2358"/>
    <w:rsid w:val="18B06DEA"/>
    <w:rsid w:val="1AB95442"/>
    <w:rsid w:val="1B726D46"/>
    <w:rsid w:val="1D2C06EC"/>
    <w:rsid w:val="1D6031B8"/>
    <w:rsid w:val="1F4A5F8A"/>
    <w:rsid w:val="21DB5FDB"/>
    <w:rsid w:val="24212D65"/>
    <w:rsid w:val="246F6558"/>
    <w:rsid w:val="274F2647"/>
    <w:rsid w:val="292B199D"/>
    <w:rsid w:val="29B82129"/>
    <w:rsid w:val="2B340871"/>
    <w:rsid w:val="2C5A3F68"/>
    <w:rsid w:val="2D5138EA"/>
    <w:rsid w:val="30633CCD"/>
    <w:rsid w:val="32264BFC"/>
    <w:rsid w:val="3491674F"/>
    <w:rsid w:val="353F2FCA"/>
    <w:rsid w:val="35E5614E"/>
    <w:rsid w:val="374B7494"/>
    <w:rsid w:val="37605062"/>
    <w:rsid w:val="381C20D2"/>
    <w:rsid w:val="39F830F3"/>
    <w:rsid w:val="3B4F27BE"/>
    <w:rsid w:val="3B8E5219"/>
    <w:rsid w:val="3EC72C70"/>
    <w:rsid w:val="3FFA719D"/>
    <w:rsid w:val="41E43802"/>
    <w:rsid w:val="431C7A3B"/>
    <w:rsid w:val="4407128E"/>
    <w:rsid w:val="475642D5"/>
    <w:rsid w:val="47FE6B56"/>
    <w:rsid w:val="49270410"/>
    <w:rsid w:val="4C7E2895"/>
    <w:rsid w:val="4D140C7F"/>
    <w:rsid w:val="4D662315"/>
    <w:rsid w:val="4EB82FD7"/>
    <w:rsid w:val="4FE27268"/>
    <w:rsid w:val="502A339D"/>
    <w:rsid w:val="51D1334F"/>
    <w:rsid w:val="525B67C3"/>
    <w:rsid w:val="52E24BA2"/>
    <w:rsid w:val="52F16734"/>
    <w:rsid w:val="557F48A2"/>
    <w:rsid w:val="55BB3A2B"/>
    <w:rsid w:val="57B27E15"/>
    <w:rsid w:val="58CD0D89"/>
    <w:rsid w:val="5CFC45D5"/>
    <w:rsid w:val="5E914F6C"/>
    <w:rsid w:val="62481701"/>
    <w:rsid w:val="6584320E"/>
    <w:rsid w:val="65CF6A0E"/>
    <w:rsid w:val="665F4966"/>
    <w:rsid w:val="667C7EF3"/>
    <w:rsid w:val="679543A8"/>
    <w:rsid w:val="67AC27BA"/>
    <w:rsid w:val="688C7072"/>
    <w:rsid w:val="69BA337A"/>
    <w:rsid w:val="6A995680"/>
    <w:rsid w:val="6E021B33"/>
    <w:rsid w:val="6E9B33CE"/>
    <w:rsid w:val="6FCE1E96"/>
    <w:rsid w:val="71197706"/>
    <w:rsid w:val="71D743A9"/>
    <w:rsid w:val="72FE7982"/>
    <w:rsid w:val="76B00A69"/>
    <w:rsid w:val="77171AE7"/>
    <w:rsid w:val="78DE47CB"/>
    <w:rsid w:val="7BD8084D"/>
    <w:rsid w:val="7DC600E3"/>
    <w:rsid w:val="7FB9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2133</Words>
  <Characters>4277</Characters>
  <Lines>0</Lines>
  <Paragraphs>0</Paragraphs>
  <TotalTime>396</TotalTime>
  <ScaleCrop>false</ScaleCrop>
  <LinksUpToDate>false</LinksUpToDate>
  <CharactersWithSpaces>4737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2022-09-16T02:26:00Z</dcterms:created>
  <dc:creator>WPS_1614231087</dc:creator>
  <cp:lastModifiedBy>WPS_1614231087</cp:lastModifiedBy>
  <dcterms:modified xsi:type="dcterms:W3CDTF">2023-01-04T08:13:02Z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BBD74730451146C9B418E299092D628D</vt:lpwstr>
  </property>
</Properties>
</file>